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CA03B" w14:textId="0E3196CC" w:rsidR="00E5312F" w:rsidRPr="00E5312F" w:rsidRDefault="00E5312F" w:rsidP="00E5312F">
      <w:pPr>
        <w:spacing w:after="0" w:line="240" w:lineRule="auto"/>
        <w:jc w:val="center"/>
        <w:rPr>
          <w:sz w:val="28"/>
          <w:szCs w:val="28"/>
        </w:rPr>
      </w:pPr>
      <w:r w:rsidRPr="00E5312F">
        <w:rPr>
          <w:sz w:val="28"/>
          <w:szCs w:val="28"/>
        </w:rPr>
        <w:t>Snoqualmie Valley Housing Task Force</w:t>
      </w:r>
    </w:p>
    <w:p w14:paraId="7F281554" w14:textId="77777777" w:rsidR="00E5312F" w:rsidRDefault="00E5312F" w:rsidP="00E5312F">
      <w:pPr>
        <w:spacing w:after="0" w:line="240" w:lineRule="auto"/>
        <w:jc w:val="center"/>
        <w:rPr>
          <w:sz w:val="28"/>
          <w:szCs w:val="28"/>
        </w:rPr>
      </w:pPr>
      <w:r w:rsidRPr="00E5312F">
        <w:rPr>
          <w:sz w:val="28"/>
          <w:szCs w:val="28"/>
        </w:rPr>
        <w:t>Community and Public Policy Sub-Committee</w:t>
      </w:r>
    </w:p>
    <w:p w14:paraId="5A5FE2F0" w14:textId="10754D6D" w:rsidR="00606B8E" w:rsidRPr="00E5312F" w:rsidRDefault="00E5312F" w:rsidP="00E5312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Meeting Report 12/1/2022</w:t>
      </w:r>
    </w:p>
    <w:p w14:paraId="241E47AA" w14:textId="38B01B4D" w:rsidR="00E5312F" w:rsidRDefault="00E5312F" w:rsidP="00E5312F">
      <w:pPr>
        <w:spacing w:after="0" w:line="240" w:lineRule="auto"/>
      </w:pPr>
      <w:r>
        <w:pict w14:anchorId="57142AF1">
          <v:rect id="_x0000_i1025" style="width:0;height:1.5pt" o:hralign="center" o:hrstd="t" o:hr="t" fillcolor="#a0a0a0" stroked="f"/>
        </w:pict>
      </w:r>
    </w:p>
    <w:p w14:paraId="7DA70FE1" w14:textId="3FC72356" w:rsidR="00E5312F" w:rsidRDefault="00E5312F" w:rsidP="00E5312F">
      <w:pPr>
        <w:spacing w:after="0" w:line="240" w:lineRule="auto"/>
      </w:pPr>
    </w:p>
    <w:p w14:paraId="55A382C4" w14:textId="61B5A893" w:rsidR="00E5312F" w:rsidRPr="001C247E" w:rsidRDefault="00E5312F" w:rsidP="00E5312F">
      <w:pPr>
        <w:spacing w:after="0" w:line="240" w:lineRule="auto"/>
        <w:rPr>
          <w:b/>
          <w:bCs/>
          <w:sz w:val="24"/>
          <w:szCs w:val="24"/>
        </w:rPr>
      </w:pPr>
      <w:r w:rsidRPr="001C247E">
        <w:rPr>
          <w:b/>
          <w:bCs/>
          <w:sz w:val="24"/>
          <w:szCs w:val="24"/>
        </w:rPr>
        <w:t>OBJECTIVE</w:t>
      </w:r>
    </w:p>
    <w:p w14:paraId="1111015F" w14:textId="5EFFAC33" w:rsidR="00E5312F" w:rsidRPr="001C247E" w:rsidRDefault="00E5312F" w:rsidP="00E5312F">
      <w:pPr>
        <w:spacing w:after="0" w:line="240" w:lineRule="auto"/>
        <w:rPr>
          <w:sz w:val="24"/>
          <w:szCs w:val="24"/>
        </w:rPr>
      </w:pPr>
      <w:r w:rsidRPr="001C247E">
        <w:rPr>
          <w:sz w:val="24"/>
          <w:szCs w:val="24"/>
        </w:rPr>
        <w:t>Prepare three proposals to present at a mid-year meeting of the task force related to how Community and Public Policy can lead to development of affordable housing in the Snoqualmie Valley.</w:t>
      </w:r>
    </w:p>
    <w:p w14:paraId="117DF93F" w14:textId="28CF9BC3" w:rsidR="00E5312F" w:rsidRPr="001C247E" w:rsidRDefault="00E5312F" w:rsidP="00E5312F">
      <w:pPr>
        <w:spacing w:after="0" w:line="240" w:lineRule="auto"/>
        <w:rPr>
          <w:sz w:val="24"/>
          <w:szCs w:val="24"/>
        </w:rPr>
      </w:pPr>
    </w:p>
    <w:p w14:paraId="3F975252" w14:textId="7F22C352" w:rsidR="00E5312F" w:rsidRPr="001C247E" w:rsidRDefault="00E5312F" w:rsidP="00E5312F">
      <w:pPr>
        <w:spacing w:after="0" w:line="240" w:lineRule="auto"/>
        <w:rPr>
          <w:b/>
          <w:bCs/>
          <w:sz w:val="24"/>
          <w:szCs w:val="24"/>
        </w:rPr>
      </w:pPr>
      <w:r w:rsidRPr="001C247E">
        <w:rPr>
          <w:b/>
          <w:bCs/>
          <w:sz w:val="24"/>
          <w:szCs w:val="24"/>
        </w:rPr>
        <w:t>AREA OF FOCUS</w:t>
      </w:r>
    </w:p>
    <w:p w14:paraId="73AC2496" w14:textId="31F533BD" w:rsidR="00E5312F" w:rsidRPr="001C247E" w:rsidRDefault="00E5312F" w:rsidP="00E5312F">
      <w:pPr>
        <w:spacing w:after="0" w:line="240" w:lineRule="auto"/>
        <w:rPr>
          <w:sz w:val="24"/>
          <w:szCs w:val="24"/>
        </w:rPr>
      </w:pPr>
      <w:r w:rsidRPr="001C247E">
        <w:rPr>
          <w:sz w:val="24"/>
          <w:szCs w:val="24"/>
        </w:rPr>
        <w:t>Community and Public Policy</w:t>
      </w:r>
      <w:r w:rsidR="001C247E">
        <w:rPr>
          <w:sz w:val="24"/>
          <w:szCs w:val="24"/>
        </w:rPr>
        <w:t xml:space="preserve"> proposals</w:t>
      </w:r>
      <w:r w:rsidRPr="001C247E">
        <w:rPr>
          <w:sz w:val="24"/>
          <w:szCs w:val="24"/>
        </w:rPr>
        <w:t xml:space="preserve"> to </w:t>
      </w:r>
      <w:r w:rsidR="001C247E">
        <w:rPr>
          <w:sz w:val="24"/>
          <w:szCs w:val="24"/>
        </w:rPr>
        <w:t>focus on areas</w:t>
      </w:r>
      <w:r w:rsidRPr="001C247E">
        <w:rPr>
          <w:sz w:val="24"/>
          <w:szCs w:val="24"/>
        </w:rPr>
        <w:t xml:space="preserve"> such as zoning, design standards, public spaces, community and natural resource limitations, permit and impact fees, taxes, funding sources and incentives for developers.</w:t>
      </w:r>
    </w:p>
    <w:p w14:paraId="346E55AB" w14:textId="07D9517C" w:rsidR="001C247E" w:rsidRPr="001C247E" w:rsidRDefault="001C247E" w:rsidP="00E5312F">
      <w:pPr>
        <w:spacing w:after="0" w:line="240" w:lineRule="auto"/>
        <w:rPr>
          <w:sz w:val="24"/>
          <w:szCs w:val="24"/>
        </w:rPr>
      </w:pPr>
    </w:p>
    <w:p w14:paraId="3717C166" w14:textId="767E67D2" w:rsidR="001C247E" w:rsidRPr="001C247E" w:rsidRDefault="001C247E" w:rsidP="00E5312F">
      <w:pPr>
        <w:spacing w:after="0" w:line="240" w:lineRule="auto"/>
        <w:rPr>
          <w:b/>
          <w:bCs/>
          <w:sz w:val="24"/>
          <w:szCs w:val="24"/>
        </w:rPr>
      </w:pPr>
      <w:r w:rsidRPr="001C247E">
        <w:rPr>
          <w:b/>
          <w:bCs/>
          <w:sz w:val="24"/>
          <w:szCs w:val="24"/>
        </w:rPr>
        <w:t>PROPOSAL CATEGORIES</w:t>
      </w:r>
    </w:p>
    <w:p w14:paraId="6A61C7D7" w14:textId="77777777" w:rsidR="001C247E" w:rsidRPr="001C247E" w:rsidRDefault="001C247E" w:rsidP="00E5312F">
      <w:pPr>
        <w:spacing w:after="0" w:line="240" w:lineRule="auto"/>
        <w:rPr>
          <w:b/>
          <w:bCs/>
          <w:sz w:val="24"/>
          <w:szCs w:val="24"/>
        </w:rPr>
      </w:pPr>
    </w:p>
    <w:p w14:paraId="78C7A5A7" w14:textId="26CEB466" w:rsidR="001C247E" w:rsidRDefault="001C247E" w:rsidP="001C2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247E">
        <w:rPr>
          <w:sz w:val="24"/>
          <w:szCs w:val="24"/>
        </w:rPr>
        <w:t>Community Resources / Limitations / Zoning</w:t>
      </w:r>
    </w:p>
    <w:p w14:paraId="62EB859E" w14:textId="5E76744B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Rights</w:t>
      </w:r>
    </w:p>
    <w:p w14:paraId="01585AC9" w14:textId="5E81D9A9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Held by City</w:t>
      </w:r>
    </w:p>
    <w:p w14:paraId="3688156B" w14:textId="66891A5D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Additional thru WA State Dept of Ecology</w:t>
      </w:r>
    </w:p>
    <w:p w14:paraId="34C5509B" w14:textId="2EF99911" w:rsidR="00E974F3" w:rsidRDefault="00E974F3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North Bend Water System allocation documents provided by Jamie (w/map)</w:t>
      </w:r>
    </w:p>
    <w:p w14:paraId="6D04EA93" w14:textId="15AAF1D4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Sewer Capacity</w:t>
      </w:r>
    </w:p>
    <w:p w14:paraId="5A0C17EC" w14:textId="37E3A2F9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Available thru Public Works Dept</w:t>
      </w:r>
    </w:p>
    <w:p w14:paraId="3D8200A8" w14:textId="32EFF5B0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Annexation Priorities</w:t>
      </w:r>
    </w:p>
    <w:p w14:paraId="3AB13981" w14:textId="22A783C5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 focus is annexation for commercial, not residential</w:t>
      </w:r>
    </w:p>
    <w:p w14:paraId="0F76E6C0" w14:textId="046EBD1D" w:rsidR="00E974F3" w:rsidRDefault="00E974F3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Efforts to diversify blended revenue sources </w:t>
      </w:r>
    </w:p>
    <w:p w14:paraId="3C73D9BB" w14:textId="500CAD2F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Multifamily Zoning Allowances</w:t>
      </w:r>
    </w:p>
    <w:p w14:paraId="5328E0AF" w14:textId="11B84590" w:rsidR="00DE3354" w:rsidRDefault="00E974F3" w:rsidP="00DE335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Code documents by city provided on the task force website</w:t>
      </w:r>
    </w:p>
    <w:p w14:paraId="0405A0E5" w14:textId="05418CF9" w:rsidR="00175FB6" w:rsidRPr="00DE3354" w:rsidRDefault="00175FB6" w:rsidP="00DE335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MBAKSC</w:t>
      </w:r>
      <w:r w:rsidR="000206E9">
        <w:rPr>
          <w:sz w:val="24"/>
          <w:szCs w:val="24"/>
        </w:rPr>
        <w:t xml:space="preserve"> Toolkit for recommendations and ideas</w:t>
      </w:r>
    </w:p>
    <w:p w14:paraId="6FE4EDA7" w14:textId="66824F5E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Standards for Multifamily</w:t>
      </w:r>
      <w:r w:rsidR="000F2559">
        <w:rPr>
          <w:sz w:val="24"/>
          <w:szCs w:val="24"/>
        </w:rPr>
        <w:t xml:space="preserve"> (Assume avg of ~$300K per unit)</w:t>
      </w:r>
    </w:p>
    <w:p w14:paraId="7FB64D4C" w14:textId="31C89EDB" w:rsidR="00DE3354" w:rsidRDefault="00DE3354" w:rsidP="00DE335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 city websites for additional details</w:t>
      </w:r>
    </w:p>
    <w:p w14:paraId="0641C005" w14:textId="7883112B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Mixed Use Options</w:t>
      </w:r>
    </w:p>
    <w:p w14:paraId="5736A81D" w14:textId="12A8D262" w:rsidR="00DE3354" w:rsidRDefault="00DE3354" w:rsidP="00DE335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Commercial and residential</w:t>
      </w:r>
    </w:p>
    <w:p w14:paraId="719BAF8C" w14:textId="7508062A" w:rsidR="00DE3354" w:rsidRDefault="00DE3354" w:rsidP="00DE3354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Light industrial and residential</w:t>
      </w:r>
    </w:p>
    <w:p w14:paraId="35D0D53A" w14:textId="736EF672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Density Bonuses</w:t>
      </w:r>
    </w:p>
    <w:p w14:paraId="02F16AB4" w14:textId="77777777" w:rsidR="001C247E" w:rsidRPr="001C247E" w:rsidRDefault="001C247E" w:rsidP="001C247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2094249" w14:textId="02973577" w:rsidR="001C247E" w:rsidRDefault="001C247E" w:rsidP="001C2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247E">
        <w:rPr>
          <w:sz w:val="24"/>
          <w:szCs w:val="24"/>
        </w:rPr>
        <w:t>Funding Sources and their Allocation</w:t>
      </w:r>
    </w:p>
    <w:p w14:paraId="5D614DCD" w14:textId="77777777" w:rsidR="001C247E" w:rsidRDefault="001C247E" w:rsidP="001C247E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Possible Sources</w:t>
      </w:r>
    </w:p>
    <w:p w14:paraId="7DEAC0F0" w14:textId="3871FAB7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Sales Tax Revenue</w:t>
      </w:r>
    </w:p>
    <w:p w14:paraId="07AC1AA5" w14:textId="7D258EDE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0.1% Sale Tax Revenue </w:t>
      </w:r>
    </w:p>
    <w:p w14:paraId="20DF16CB" w14:textId="24E6DE86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Snoqualmie has $900K currently / $748K in ’23-‘24</w:t>
      </w:r>
    </w:p>
    <w:p w14:paraId="787D2783" w14:textId="3586F539" w:rsidR="000F2559" w:rsidRPr="000206E9" w:rsidRDefault="00E974F3" w:rsidP="000206E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Designated for affordable housing or programs related to the same</w:t>
      </w:r>
    </w:p>
    <w:p w14:paraId="79CD921A" w14:textId="57B46BB9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 Grants</w:t>
      </w:r>
    </w:p>
    <w:p w14:paraId="660B8966" w14:textId="6054D237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City Land / Surplus Land</w:t>
      </w:r>
    </w:p>
    <w:p w14:paraId="311162F2" w14:textId="669DB098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Enterprise database (created by a non-profit) shows available public land</w:t>
      </w:r>
    </w:p>
    <w:p w14:paraId="4A8CB27A" w14:textId="3AEAC035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banking is a solution by a city to designate for specific development</w:t>
      </w:r>
    </w:p>
    <w:p w14:paraId="5ADC871F" w14:textId="0C122CD4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Surplus lands have less restrictions on how they can be ‘gifted’</w:t>
      </w:r>
    </w:p>
    <w:p w14:paraId="3FF9A525" w14:textId="304E69DA" w:rsidR="001C247E" w:rsidRDefault="001C247E" w:rsidP="001C247E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Land Donations</w:t>
      </w:r>
    </w:p>
    <w:p w14:paraId="4B3FA9CF" w14:textId="1BBE9549" w:rsidR="00E974F3" w:rsidRDefault="00E974F3" w:rsidP="00E974F3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for legacy gifts or private citizens, churches, etc. to donate or significantly reduce purchase price on lands for specific purposes</w:t>
      </w:r>
    </w:p>
    <w:p w14:paraId="3767893A" w14:textId="7971C01F" w:rsidR="00E974F3" w:rsidRDefault="001C247E" w:rsidP="00E974F3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Allocation</w:t>
      </w:r>
    </w:p>
    <w:p w14:paraId="1BE464B8" w14:textId="6CA8D7DB" w:rsidR="00E974F3" w:rsidRDefault="00E974F3" w:rsidP="00E974F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purchase land or reduce cost of land</w:t>
      </w:r>
    </w:p>
    <w:p w14:paraId="246DEF9C" w14:textId="5B42B9A4" w:rsidR="00E974F3" w:rsidRDefault="00DE3354" w:rsidP="00E974F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supplement rent for tenants</w:t>
      </w:r>
    </w:p>
    <w:p w14:paraId="29D8B05B" w14:textId="2AF89B55" w:rsidR="00DE3354" w:rsidRDefault="00DE3354" w:rsidP="00E974F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provide social or natural resources to development and tenants</w:t>
      </w:r>
    </w:p>
    <w:p w14:paraId="1E6BD23D" w14:textId="4D890A91" w:rsidR="00DE3354" w:rsidRPr="00E974F3" w:rsidRDefault="00DE3354" w:rsidP="00E974F3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offset development costs like impact fees, permit fees, etc.</w:t>
      </w:r>
    </w:p>
    <w:p w14:paraId="09D17484" w14:textId="77777777" w:rsidR="001C247E" w:rsidRPr="001C247E" w:rsidRDefault="001C247E" w:rsidP="001C247E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145C7AC7" w14:textId="59893FDD" w:rsidR="001C247E" w:rsidRDefault="001C247E" w:rsidP="001C247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C247E">
        <w:rPr>
          <w:sz w:val="24"/>
          <w:szCs w:val="24"/>
        </w:rPr>
        <w:t>Incentives for Development</w:t>
      </w:r>
    </w:p>
    <w:p w14:paraId="0163D8F5" w14:textId="796C6424" w:rsidR="001C247E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Land Grants / Land Price Reductions</w:t>
      </w:r>
    </w:p>
    <w:p w14:paraId="60904D99" w14:textId="2C3EC30F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Multifamily Tax Incentives</w:t>
      </w:r>
    </w:p>
    <w:p w14:paraId="7ECDDADB" w14:textId="21753673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Permit Incentives (MF Priority, Affordable expedited, infill expedited, master plan)</w:t>
      </w:r>
    </w:p>
    <w:p w14:paraId="28B69E6A" w14:textId="632875DE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 Zoning</w:t>
      </w:r>
    </w:p>
    <w:p w14:paraId="4D856389" w14:textId="730CF20E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Opportunity Zone (QOZ)</w:t>
      </w:r>
    </w:p>
    <w:p w14:paraId="52AEFE7E" w14:textId="5163E879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Density Bonus</w:t>
      </w:r>
    </w:p>
    <w:p w14:paraId="00DA540F" w14:textId="24627DB0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Inclusionary Zoning</w:t>
      </w:r>
    </w:p>
    <w:p w14:paraId="717C870D" w14:textId="2D9DC448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Water / Sewer Fee Reduction</w:t>
      </w:r>
    </w:p>
    <w:p w14:paraId="187FD1A1" w14:textId="3DA72502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Adjusted Parking Standards</w:t>
      </w:r>
    </w:p>
    <w:p w14:paraId="50438608" w14:textId="4E4ABAA1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Impact Fee Subsidies</w:t>
      </w:r>
    </w:p>
    <w:p w14:paraId="23E68E94" w14:textId="581F935A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Private land donation process</w:t>
      </w:r>
    </w:p>
    <w:p w14:paraId="4E64C6D3" w14:textId="55370307" w:rsidR="00DE3354" w:rsidRDefault="00DE3354" w:rsidP="00DE335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Map of available land / sites for development or redevelopment</w:t>
      </w:r>
    </w:p>
    <w:p w14:paraId="05B2A718" w14:textId="77777777" w:rsidR="00DE3354" w:rsidRPr="00DE3354" w:rsidRDefault="00DE3354" w:rsidP="00DE3354">
      <w:pPr>
        <w:spacing w:after="0" w:line="240" w:lineRule="auto"/>
        <w:rPr>
          <w:sz w:val="24"/>
          <w:szCs w:val="24"/>
        </w:rPr>
      </w:pPr>
    </w:p>
    <w:p w14:paraId="5F2D4EE3" w14:textId="4D9CC572" w:rsidR="001C247E" w:rsidRPr="000F2559" w:rsidRDefault="000F2559" w:rsidP="000F2559">
      <w:pPr>
        <w:spacing w:after="0" w:line="240" w:lineRule="auto"/>
        <w:rPr>
          <w:b/>
          <w:bCs/>
          <w:sz w:val="24"/>
          <w:szCs w:val="24"/>
        </w:rPr>
      </w:pPr>
      <w:r w:rsidRPr="000F2559">
        <w:rPr>
          <w:b/>
          <w:bCs/>
          <w:sz w:val="24"/>
          <w:szCs w:val="24"/>
        </w:rPr>
        <w:t>ACTION ITEMS</w:t>
      </w:r>
    </w:p>
    <w:p w14:paraId="124F7EAF" w14:textId="4DF7EEAE" w:rsidR="000F2559" w:rsidRDefault="000F2559" w:rsidP="000F25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possible grants available (County, State, Federal)</w:t>
      </w:r>
    </w:p>
    <w:p w14:paraId="3B8C72DC" w14:textId="32746A86" w:rsidR="000F2559" w:rsidRDefault="000F2559" w:rsidP="000F25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water right allocation process (request and growth projections by ST)</w:t>
      </w:r>
    </w:p>
    <w:p w14:paraId="3727602F" w14:textId="3D6E77E8" w:rsidR="000F2559" w:rsidRDefault="000F2559" w:rsidP="000F25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other community allocation programs of affordable housing funding</w:t>
      </w:r>
    </w:p>
    <w:p w14:paraId="51FAD812" w14:textId="58F6F578" w:rsidR="000F2559" w:rsidRDefault="000F2559" w:rsidP="000F25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Research property tax / levy options</w:t>
      </w:r>
    </w:p>
    <w:p w14:paraId="1533E3C6" w14:textId="7DFD9C7E" w:rsidR="000F2559" w:rsidRDefault="000F2559" w:rsidP="000F2559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Draft a communication / outreach program about land donations</w:t>
      </w:r>
    </w:p>
    <w:p w14:paraId="0CC71C7E" w14:textId="77777777" w:rsidR="000F2559" w:rsidRDefault="000F2559" w:rsidP="000F255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527F7A0A" w14:textId="6C657F07" w:rsidR="000F2559" w:rsidRPr="000F2559" w:rsidRDefault="000F2559" w:rsidP="000F2559">
      <w:pPr>
        <w:spacing w:after="0" w:line="240" w:lineRule="auto"/>
        <w:rPr>
          <w:sz w:val="24"/>
          <w:szCs w:val="24"/>
        </w:rPr>
      </w:pPr>
      <w:r w:rsidRPr="000F2559">
        <w:rPr>
          <w:b/>
          <w:bCs/>
          <w:sz w:val="24"/>
          <w:szCs w:val="24"/>
        </w:rPr>
        <w:t>NEXT MEETING:</w:t>
      </w:r>
      <w:r w:rsidRPr="000F2559">
        <w:rPr>
          <w:sz w:val="24"/>
          <w:szCs w:val="24"/>
        </w:rPr>
        <w:t xml:space="preserve"> Thursday, January 26</w:t>
      </w:r>
      <w:r w:rsidRPr="000F2559">
        <w:rPr>
          <w:sz w:val="24"/>
          <w:szCs w:val="24"/>
          <w:vertAlign w:val="superscript"/>
        </w:rPr>
        <w:t>th</w:t>
      </w:r>
      <w:r w:rsidRPr="000F2559">
        <w:rPr>
          <w:sz w:val="24"/>
          <w:szCs w:val="24"/>
        </w:rPr>
        <w:t xml:space="preserve"> at 3pm Snoqualmie City Hall</w:t>
      </w:r>
    </w:p>
    <w:p w14:paraId="1F431ABD" w14:textId="77777777" w:rsidR="000F2559" w:rsidRPr="000F2559" w:rsidRDefault="000F2559" w:rsidP="000F2559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14:paraId="28AC5771" w14:textId="679C93DA" w:rsidR="00E974F3" w:rsidRPr="000F2559" w:rsidRDefault="00E974F3" w:rsidP="00E5312F">
      <w:pPr>
        <w:spacing w:after="0" w:line="240" w:lineRule="auto"/>
        <w:rPr>
          <w:b/>
          <w:bCs/>
          <w:sz w:val="24"/>
          <w:szCs w:val="24"/>
        </w:rPr>
      </w:pPr>
      <w:r w:rsidRPr="000F2559">
        <w:rPr>
          <w:b/>
          <w:bCs/>
          <w:sz w:val="24"/>
          <w:szCs w:val="24"/>
        </w:rPr>
        <w:t>RESOURCES</w:t>
      </w:r>
    </w:p>
    <w:p w14:paraId="7CE10488" w14:textId="3A7C02DA" w:rsidR="00E974F3" w:rsidRDefault="00E974F3" w:rsidP="00E5312F">
      <w:pPr>
        <w:spacing w:after="0" w:line="240" w:lineRule="auto"/>
      </w:pPr>
      <w:hyperlink r:id="rId7" w:history="1">
        <w:r>
          <w:rPr>
            <w:rStyle w:val="Hyperlink"/>
          </w:rPr>
          <w:t>MRSC - Affordable Housing Techniques and Incentives</w:t>
        </w:r>
      </w:hyperlink>
      <w:r>
        <w:t xml:space="preserve"> – Note reference to North Bend Cottage Zoning </w:t>
      </w:r>
    </w:p>
    <w:p w14:paraId="428640D5" w14:textId="4D045036" w:rsidR="00DE3354" w:rsidRDefault="00DE3354" w:rsidP="00E5312F">
      <w:pPr>
        <w:spacing w:after="0" w:line="240" w:lineRule="auto"/>
      </w:pPr>
      <w:hyperlink r:id="rId8" w:history="1">
        <w:r>
          <w:rPr>
            <w:rStyle w:val="Hyperlink"/>
          </w:rPr>
          <w:t>What Is Workforce Housing | Definition &amp; Examples (doorloop.com)</w:t>
        </w:r>
      </w:hyperlink>
    </w:p>
    <w:p w14:paraId="3985F445" w14:textId="491A849D" w:rsidR="00DE3354" w:rsidRPr="001C247E" w:rsidRDefault="00DE3354" w:rsidP="00E5312F">
      <w:pPr>
        <w:spacing w:after="0" w:line="240" w:lineRule="auto"/>
        <w:rPr>
          <w:sz w:val="24"/>
          <w:szCs w:val="24"/>
        </w:rPr>
      </w:pPr>
      <w:hyperlink r:id="rId9" w:history="1">
        <w:r>
          <w:rPr>
            <w:rStyle w:val="Hyperlink"/>
          </w:rPr>
          <w:t>Regional Affordable Housing Dashboard - King County</w:t>
        </w:r>
      </w:hyperlink>
    </w:p>
    <w:sectPr w:rsidR="00DE3354" w:rsidRPr="001C247E" w:rsidSect="001C247E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6FCF4" w14:textId="77777777" w:rsidR="00E5312F" w:rsidRDefault="00E5312F" w:rsidP="00E5312F">
      <w:pPr>
        <w:spacing w:after="0" w:line="240" w:lineRule="auto"/>
      </w:pPr>
      <w:r>
        <w:separator/>
      </w:r>
    </w:p>
  </w:endnote>
  <w:endnote w:type="continuationSeparator" w:id="0">
    <w:p w14:paraId="04DA689D" w14:textId="77777777" w:rsidR="00E5312F" w:rsidRDefault="00E5312F" w:rsidP="00E5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165D3" w14:textId="77777777" w:rsidR="00E5312F" w:rsidRDefault="00E5312F" w:rsidP="00E5312F">
      <w:pPr>
        <w:spacing w:after="0" w:line="240" w:lineRule="auto"/>
      </w:pPr>
      <w:r>
        <w:separator/>
      </w:r>
    </w:p>
  </w:footnote>
  <w:footnote w:type="continuationSeparator" w:id="0">
    <w:p w14:paraId="2EE2C616" w14:textId="77777777" w:rsidR="00E5312F" w:rsidRDefault="00E5312F" w:rsidP="00E53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CDB23" w14:textId="6C4C1048" w:rsidR="00E5312F" w:rsidRDefault="00E5312F" w:rsidP="00E5312F">
    <w:pPr>
      <w:pStyle w:val="Header"/>
      <w:jc w:val="center"/>
    </w:pPr>
    <w:r w:rsidRPr="00E5312F">
      <w:drawing>
        <wp:inline distT="0" distB="0" distL="0" distR="0" wp14:anchorId="3D198D79" wp14:editId="09205F4C">
          <wp:extent cx="637567" cy="62865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1764" cy="632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83168A" w14:textId="77777777" w:rsidR="00E5312F" w:rsidRDefault="00E53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3BF7"/>
    <w:multiLevelType w:val="hybridMultilevel"/>
    <w:tmpl w:val="13CCE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C52A7"/>
    <w:multiLevelType w:val="hybridMultilevel"/>
    <w:tmpl w:val="0D143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F4013"/>
    <w:multiLevelType w:val="hybridMultilevel"/>
    <w:tmpl w:val="DA103C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BC3E92"/>
    <w:multiLevelType w:val="hybridMultilevel"/>
    <w:tmpl w:val="78A02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458769">
    <w:abstractNumId w:val="3"/>
  </w:num>
  <w:num w:numId="2" w16cid:durableId="1161384098">
    <w:abstractNumId w:val="1"/>
  </w:num>
  <w:num w:numId="3" w16cid:durableId="149906616">
    <w:abstractNumId w:val="2"/>
  </w:num>
  <w:num w:numId="4" w16cid:durableId="62091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12F"/>
    <w:rsid w:val="000206E9"/>
    <w:rsid w:val="000F2559"/>
    <w:rsid w:val="00175FB6"/>
    <w:rsid w:val="001C247E"/>
    <w:rsid w:val="00606B8E"/>
    <w:rsid w:val="00DE3354"/>
    <w:rsid w:val="00E5312F"/>
    <w:rsid w:val="00E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567CE"/>
  <w15:chartTrackingRefBased/>
  <w15:docId w15:val="{885B4070-3D79-4847-AF8C-EFE10365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12F"/>
  </w:style>
  <w:style w:type="paragraph" w:styleId="Footer">
    <w:name w:val="footer"/>
    <w:basedOn w:val="Normal"/>
    <w:link w:val="FooterChar"/>
    <w:uiPriority w:val="99"/>
    <w:unhideWhenUsed/>
    <w:rsid w:val="00E53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12F"/>
  </w:style>
  <w:style w:type="paragraph" w:styleId="ListParagraph">
    <w:name w:val="List Paragraph"/>
    <w:basedOn w:val="Normal"/>
    <w:uiPriority w:val="34"/>
    <w:qFormat/>
    <w:rsid w:val="001C247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97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orloop.com/definitions/workforce-hous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rsc.org/Home/Explore-Topics/Planning/Housing/Affordable-Housing-Techniques-and-Incentives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ingcounty.gov/depts/community-human-services/housing/affordable-housing-committee/data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Gillespie</dc:creator>
  <cp:keywords/>
  <dc:description/>
  <cp:lastModifiedBy>Susan Gillespie</cp:lastModifiedBy>
  <cp:revision>3</cp:revision>
  <dcterms:created xsi:type="dcterms:W3CDTF">2022-12-02T17:11:00Z</dcterms:created>
  <dcterms:modified xsi:type="dcterms:W3CDTF">2022-12-02T18:00:00Z</dcterms:modified>
</cp:coreProperties>
</file>